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FB9" w:rsidRDefault="001C2FB9" w:rsidP="001C2FB9">
      <w:pPr>
        <w:tabs>
          <w:tab w:val="left" w:pos="525"/>
          <w:tab w:val="right" w:pos="9540"/>
        </w:tabs>
        <w:ind w:left="4678"/>
        <w:jc w:val="both"/>
        <w:rPr>
          <w:bCs/>
          <w:szCs w:val="28"/>
        </w:rPr>
      </w:pPr>
      <w:r>
        <w:rPr>
          <w:bCs/>
          <w:szCs w:val="28"/>
          <w:lang w:val="x-none"/>
        </w:rPr>
        <w:t>Приложение 3</w:t>
      </w:r>
    </w:p>
    <w:p w:rsidR="001C2FB9" w:rsidRDefault="001C2FB9" w:rsidP="001C2FB9">
      <w:pPr>
        <w:tabs>
          <w:tab w:val="left" w:pos="525"/>
          <w:tab w:val="right" w:pos="9355"/>
        </w:tabs>
        <w:ind w:left="4678"/>
        <w:rPr>
          <w:bCs/>
          <w:szCs w:val="28"/>
          <w:lang w:val="x-none"/>
        </w:rPr>
      </w:pPr>
      <w:r>
        <w:rPr>
          <w:bCs/>
          <w:szCs w:val="28"/>
          <w:lang w:val="x-none"/>
        </w:rPr>
        <w:t>к пост</w:t>
      </w:r>
      <w:r>
        <w:rPr>
          <w:bCs/>
          <w:szCs w:val="28"/>
          <w:lang w:val="x-none"/>
        </w:rPr>
        <w:t xml:space="preserve">ановлению Региональной службы </w:t>
      </w:r>
      <w:r>
        <w:rPr>
          <w:bCs/>
          <w:szCs w:val="28"/>
          <w:lang w:val="x-none"/>
        </w:rPr>
        <w:t>по тарифам и ценам Камчатского края</w:t>
      </w:r>
    </w:p>
    <w:p w:rsidR="001C2FB9" w:rsidRDefault="001C2FB9" w:rsidP="001C2FB9">
      <w:pPr>
        <w:tabs>
          <w:tab w:val="left" w:pos="525"/>
          <w:tab w:val="right" w:pos="9355"/>
        </w:tabs>
        <w:ind w:left="4678"/>
        <w:rPr>
          <w:bCs/>
          <w:szCs w:val="28"/>
        </w:rPr>
      </w:pPr>
      <w:r>
        <w:rPr>
          <w:bCs/>
          <w:szCs w:val="28"/>
          <w:lang w:val="x-none"/>
        </w:rPr>
        <w:t xml:space="preserve">от </w:t>
      </w:r>
      <w:r>
        <w:rPr>
          <w:bCs/>
          <w:szCs w:val="28"/>
        </w:rPr>
        <w:t>31</w:t>
      </w:r>
      <w:r>
        <w:rPr>
          <w:bCs/>
          <w:szCs w:val="28"/>
          <w:lang w:val="x-none"/>
        </w:rPr>
        <w:t>.</w:t>
      </w:r>
      <w:r>
        <w:rPr>
          <w:bCs/>
          <w:szCs w:val="28"/>
        </w:rPr>
        <w:t>12</w:t>
      </w:r>
      <w:r>
        <w:rPr>
          <w:bCs/>
          <w:szCs w:val="28"/>
          <w:lang w:val="x-none"/>
        </w:rPr>
        <w:t xml:space="preserve">.2020 № </w:t>
      </w:r>
      <w:r>
        <w:rPr>
          <w:bCs/>
          <w:szCs w:val="28"/>
        </w:rPr>
        <w:t>420</w:t>
      </w:r>
    </w:p>
    <w:p w:rsidR="001C2FB9" w:rsidRDefault="001C2FB9" w:rsidP="001C2FB9">
      <w:pPr>
        <w:tabs>
          <w:tab w:val="left" w:pos="993"/>
        </w:tabs>
        <w:ind w:right="-1" w:firstLine="567"/>
        <w:jc w:val="both"/>
        <w:rPr>
          <w:color w:val="000000" w:themeColor="text1"/>
          <w:sz w:val="18"/>
          <w:szCs w:val="18"/>
        </w:rPr>
      </w:pPr>
    </w:p>
    <w:p w:rsidR="001C2FB9" w:rsidRDefault="001C2FB9" w:rsidP="001C2FB9">
      <w:pPr>
        <w:rPr>
          <w:szCs w:val="28"/>
        </w:rPr>
      </w:pPr>
    </w:p>
    <w:tbl>
      <w:tblPr>
        <w:tblpPr w:leftFromText="180" w:rightFromText="180" w:vertAnchor="text" w:horzAnchor="margin" w:tblpXSpec="right" w:tblpY="-485"/>
        <w:tblW w:w="0" w:type="auto"/>
        <w:tblLook w:val="04A0" w:firstRow="1" w:lastRow="0" w:firstColumn="1" w:lastColumn="0" w:noHBand="0" w:noVBand="1"/>
      </w:tblPr>
      <w:tblGrid>
        <w:gridCol w:w="5322"/>
      </w:tblGrid>
      <w:tr w:rsidR="001C2FB9" w:rsidTr="001C2FB9">
        <w:tc>
          <w:tcPr>
            <w:tcW w:w="5322" w:type="dxa"/>
            <w:hideMark/>
          </w:tcPr>
          <w:p w:rsidR="001C2FB9" w:rsidRDefault="001C2FB9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</w:p>
          <w:p w:rsidR="001C2FB9" w:rsidRPr="001C2FB9" w:rsidRDefault="001C2FB9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    </w:t>
            </w:r>
            <w:r>
              <w:rPr>
                <w:szCs w:val="28"/>
              </w:rPr>
              <w:t xml:space="preserve">«Приложение </w:t>
            </w:r>
            <w:r>
              <w:rPr>
                <w:szCs w:val="28"/>
              </w:rPr>
              <w:t>4</w:t>
            </w:r>
            <w:r>
              <w:rPr>
                <w:szCs w:val="28"/>
                <w:vertAlign w:val="superscript"/>
              </w:rPr>
              <w:t>2</w:t>
            </w:r>
          </w:p>
          <w:p w:rsidR="001C2FB9" w:rsidRDefault="001C2FB9" w:rsidP="001C2FB9">
            <w:pPr>
              <w:ind w:left="604" w:hanging="604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    </w:t>
            </w:r>
            <w:r>
              <w:rPr>
                <w:szCs w:val="28"/>
              </w:rPr>
              <w:t xml:space="preserve">к постановлению Региональной </w:t>
            </w:r>
            <w:r>
              <w:rPr>
                <w:szCs w:val="28"/>
              </w:rPr>
              <w:t xml:space="preserve">                                         службы </w:t>
            </w:r>
            <w:r>
              <w:rPr>
                <w:szCs w:val="28"/>
              </w:rPr>
              <w:t xml:space="preserve">по тарифам и ценам </w:t>
            </w:r>
          </w:p>
          <w:p w:rsidR="001C2FB9" w:rsidRDefault="001C2FB9">
            <w:pPr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>
              <w:rPr>
                <w:szCs w:val="28"/>
              </w:rPr>
              <w:t xml:space="preserve">Камчатского края </w:t>
            </w:r>
          </w:p>
          <w:p w:rsidR="001C2FB9" w:rsidRDefault="001C2FB9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    </w:t>
            </w:r>
            <w:r>
              <w:rPr>
                <w:szCs w:val="28"/>
              </w:rPr>
              <w:t>от 27.12.2019 № 468</w:t>
            </w:r>
          </w:p>
        </w:tc>
      </w:tr>
    </w:tbl>
    <w:p w:rsidR="001C2FB9" w:rsidRDefault="001C2FB9" w:rsidP="001C2FB9">
      <w:pPr>
        <w:tabs>
          <w:tab w:val="left" w:pos="525"/>
          <w:tab w:val="right" w:pos="9540"/>
        </w:tabs>
        <w:ind w:left="4678"/>
        <w:jc w:val="both"/>
      </w:pPr>
    </w:p>
    <w:p w:rsidR="001C2FB9" w:rsidRDefault="001C2FB9" w:rsidP="001C2FB9">
      <w:pPr>
        <w:tabs>
          <w:tab w:val="left" w:pos="525"/>
          <w:tab w:val="right" w:pos="9540"/>
        </w:tabs>
        <w:ind w:left="4678"/>
        <w:jc w:val="both"/>
      </w:pPr>
    </w:p>
    <w:p w:rsidR="001C2FB9" w:rsidRDefault="001C2FB9" w:rsidP="001C2FB9">
      <w:pPr>
        <w:tabs>
          <w:tab w:val="left" w:pos="525"/>
          <w:tab w:val="right" w:pos="9540"/>
        </w:tabs>
        <w:ind w:left="4678"/>
        <w:jc w:val="both"/>
      </w:pPr>
    </w:p>
    <w:p w:rsidR="001C2FB9" w:rsidRDefault="001C2FB9" w:rsidP="001C2FB9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Сбытовая надбавка</w:t>
      </w:r>
      <w:r>
        <w:rPr>
          <w:rFonts w:ascii="Times New Roman" w:hAnsi="Times New Roman"/>
          <w:b w:val="0"/>
          <w:bCs w:val="0"/>
          <w:color w:val="auto"/>
          <w:sz w:val="27"/>
          <w:szCs w:val="27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гарантирующего поставщика электрической энергии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1C2FB9" w:rsidRDefault="001C2FB9" w:rsidP="001C2FB9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ПАО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«Камчатскэнерго»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(Центральный </w:t>
      </w: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энергоузел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)</w:t>
      </w:r>
      <w:r>
        <w:rPr>
          <w:rFonts w:ascii="Times New Roman" w:hAnsi="Times New Roman"/>
          <w:b w:val="0"/>
          <w:color w:val="auto"/>
          <w:sz w:val="28"/>
          <w:szCs w:val="28"/>
        </w:rPr>
        <w:t>, поставляющего электрическую энергию (мощность) на розничном рынке, на 2021 год (без НДС)</w:t>
      </w:r>
    </w:p>
    <w:p w:rsidR="001C2FB9" w:rsidRDefault="001C2FB9" w:rsidP="001C2FB9"/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418"/>
        <w:gridCol w:w="1417"/>
        <w:gridCol w:w="1559"/>
        <w:gridCol w:w="1560"/>
      </w:tblGrid>
      <w:tr w:rsidR="001C2FB9" w:rsidTr="001C2FB9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гарантирующего поставщика в</w:t>
            </w:r>
          </w:p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субъекте Российской Федерации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Сбытовая надбавка</w:t>
            </w:r>
          </w:p>
        </w:tc>
      </w:tr>
      <w:tr w:rsidR="001C2FB9" w:rsidTr="001C2FB9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Default="001C2FB9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Default="001C2FB9">
            <w:pPr>
              <w:rPr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тарифная группа потребителей «население» и приравненные к нему категории потребителей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тарифная группа потребителей «сетевые организации, покупающие электрическую энергию для компенсации потерь»</w:t>
            </w:r>
          </w:p>
        </w:tc>
        <w:bookmarkStart w:id="0" w:name="_GoBack"/>
        <w:bookmarkEnd w:id="0"/>
      </w:tr>
      <w:tr w:rsidR="001C2FB9" w:rsidTr="001C2FB9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Default="001C2FB9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Default="001C2FB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 полугодие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полугодие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полугодие</w:t>
            </w:r>
          </w:p>
        </w:tc>
      </w:tr>
      <w:tr w:rsidR="001C2FB9" w:rsidTr="001C2FB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C2FB9" w:rsidTr="001C2FB9">
        <w:trPr>
          <w:trHeight w:val="9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bookmarkStart w:id="1" w:name="sub_28001"/>
            <w:r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«Камчатскэнерго»</w:t>
            </w:r>
            <w:r>
              <w:rPr>
                <w:rFonts w:ascii="Times New Roman" w:hAnsi="Times New Roman" w:cs="Times New Roman"/>
              </w:rPr>
              <w:t xml:space="preserve"> (Центральный </w:t>
            </w:r>
            <w:proofErr w:type="spellStart"/>
            <w:r>
              <w:rPr>
                <w:rFonts w:ascii="Times New Roman" w:hAnsi="Times New Roman" w:cs="Times New Roman"/>
              </w:rPr>
              <w:t>энергоузел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P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C2FB9">
              <w:rPr>
                <w:rFonts w:ascii="Times New Roman" w:hAnsi="Times New Roman" w:cs="Times New Roman"/>
              </w:rPr>
              <w:t>0,412</w:t>
            </w:r>
          </w:p>
          <w:p w:rsidR="001C2FB9" w:rsidRPr="001C2FB9" w:rsidRDefault="001C2FB9">
            <w:pPr>
              <w:jc w:val="center"/>
              <w:rPr>
                <w:sz w:val="24"/>
              </w:rPr>
            </w:pPr>
            <w:r w:rsidRPr="001C2FB9">
              <w:rPr>
                <w:sz w:val="24"/>
              </w:rPr>
              <w:t xml:space="preserve">  0,288*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P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C2FB9">
              <w:rPr>
                <w:rFonts w:ascii="Times New Roman" w:hAnsi="Times New Roman" w:cs="Times New Roman"/>
              </w:rPr>
              <w:t>0,427</w:t>
            </w:r>
          </w:p>
          <w:p w:rsidR="001C2FB9" w:rsidRPr="001C2FB9" w:rsidRDefault="001C2FB9">
            <w:pPr>
              <w:jc w:val="center"/>
              <w:rPr>
                <w:sz w:val="24"/>
              </w:rPr>
            </w:pPr>
            <w:r w:rsidRPr="001C2FB9">
              <w:rPr>
                <w:sz w:val="24"/>
              </w:rPr>
              <w:t xml:space="preserve">  0,299*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P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C2FB9">
              <w:rPr>
                <w:rFonts w:ascii="Times New Roman" w:hAnsi="Times New Roman" w:cs="Times New Roman"/>
              </w:rPr>
              <w:t>0,412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FB9" w:rsidRPr="001C2FB9" w:rsidRDefault="001C2FB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C2FB9">
              <w:rPr>
                <w:rFonts w:ascii="Times New Roman" w:hAnsi="Times New Roman" w:cs="Times New Roman"/>
              </w:rPr>
              <w:t>0,427</w:t>
            </w:r>
          </w:p>
        </w:tc>
      </w:tr>
    </w:tbl>
    <w:p w:rsidR="001C2FB9" w:rsidRDefault="001C2FB9" w:rsidP="001C2FB9">
      <w:pPr>
        <w:jc w:val="right"/>
        <w:rPr>
          <w:szCs w:val="28"/>
        </w:rPr>
      </w:pPr>
    </w:p>
    <w:p w:rsidR="001C2FB9" w:rsidRDefault="001C2FB9" w:rsidP="001C2FB9">
      <w:pPr>
        <w:tabs>
          <w:tab w:val="left" w:pos="525"/>
          <w:tab w:val="right" w:pos="9355"/>
        </w:tabs>
        <w:ind w:firstLine="709"/>
        <w:jc w:val="both"/>
        <w:rPr>
          <w:sz w:val="20"/>
          <w:szCs w:val="20"/>
        </w:rPr>
      </w:pPr>
      <w:r>
        <w:rPr>
          <w:bCs/>
          <w:sz w:val="22"/>
          <w:szCs w:val="22"/>
        </w:rPr>
        <w:t xml:space="preserve">Примечание: </w:t>
      </w:r>
    </w:p>
    <w:p w:rsidR="001C2FB9" w:rsidRPr="001C2FB9" w:rsidRDefault="001C2FB9" w:rsidP="001C2FB9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lang w:val="x-none"/>
        </w:rPr>
        <w:t xml:space="preserve"> Тариф для населения указан с учетом применения понижающего коэффициента 0,7, принятого постановлением Региональной службой по тарифам и ценам Камчатского края </w:t>
      </w:r>
      <w:r>
        <w:rPr>
          <w:sz w:val="20"/>
          <w:szCs w:val="20"/>
        </w:rPr>
        <w:t>от 11.11.2020 № 173 «О применении понижающего коэффициента к тарифам на электрическую энергию для населения, и приравненным к нему категориям потребителей на территории Камчатского края, в 2021 году»,</w:t>
      </w:r>
      <w:r>
        <w:rPr>
          <w:sz w:val="20"/>
          <w:szCs w:val="20"/>
          <w:lang w:val="x-none"/>
        </w:rPr>
        <w:t xml:space="preserve"> в соответствии с пунктом 71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 №1178.</w:t>
      </w:r>
      <w:r>
        <w:rPr>
          <w:sz w:val="20"/>
          <w:szCs w:val="20"/>
        </w:rPr>
        <w:t>»</w:t>
      </w:r>
    </w:p>
    <w:p w:rsidR="00FE0A5C" w:rsidRDefault="00FE0A5C"/>
    <w:sectPr w:rsidR="00FE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C0F"/>
    <w:rsid w:val="001C2FB9"/>
    <w:rsid w:val="003C3C0F"/>
    <w:rsid w:val="00FE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6129"/>
  <w15:chartTrackingRefBased/>
  <w15:docId w15:val="{A6753BF4-9A88-4707-ADD8-664A87FF4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B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FB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FB9"/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paragraph" w:customStyle="1" w:styleId="a3">
    <w:name w:val="Нормальный (таблица)"/>
    <w:basedOn w:val="a"/>
    <w:next w:val="a"/>
    <w:uiPriority w:val="99"/>
    <w:rsid w:val="001C2FB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Блуметич Елена Ивановна</dc:creator>
  <cp:keywords/>
  <dc:description/>
  <cp:lastModifiedBy>Блуметич Елена Ивановна</cp:lastModifiedBy>
  <cp:revision>2</cp:revision>
  <dcterms:created xsi:type="dcterms:W3CDTF">2021-01-13T23:42:00Z</dcterms:created>
  <dcterms:modified xsi:type="dcterms:W3CDTF">2021-01-13T23:51:00Z</dcterms:modified>
</cp:coreProperties>
</file>